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2B248E">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2B248E">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2B248E">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2B248E">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2B248E">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2B248E">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2B248E">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2B248E">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2B248E">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2B248E">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2B248E">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2B248E">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2B248E">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2B248E">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2B248E">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2B248E">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2B248E">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2B248E">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2B248E">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2B248E">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2B248E">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2B248E">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2B248E">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2B248E">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2B248E">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2B248E">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2B248E">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2B248E">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2B248E">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2B248E">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2B248E">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2B248E">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2B248E">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2B248E">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2B248E">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2B248E">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2B248E">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2B248E">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2B248E">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2B248E">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2B248E">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2B248E">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21EF6B19"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009311D9">
        <w:rPr>
          <w:b w:val="0"/>
          <w:sz w:val="22"/>
          <w:szCs w:val="22"/>
        </w:rPr>
        <w:t>, локальная ресурсная смета № 1-А</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396D105F" w:rsidR="006E101C" w:rsidRPr="009F6AA3" w:rsidRDefault="005E6F01" w:rsidP="009311D9">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9311D9" w:rsidRPr="009311D9">
        <w:rPr>
          <w:b/>
        </w:rPr>
        <w:t>Выполнение электромонтажных работ при замене насоса КОН на филиале ТЭЦ-9 в г. 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026A48F3"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2B248E">
        <w:rPr>
          <w:b/>
        </w:rPr>
        <w:t xml:space="preserve"> 10</w:t>
      </w:r>
      <w:bookmarkStart w:id="11" w:name="_GoBack"/>
      <w:bookmarkEnd w:id="11"/>
      <w:r w:rsidR="009311D9">
        <w:rPr>
          <w:b/>
        </w:rPr>
        <w:t>.07.</w:t>
      </w:r>
      <w:r w:rsidR="004231BF">
        <w:rPr>
          <w:b/>
        </w:rPr>
        <w:t>2024г.</w:t>
      </w:r>
      <w:r w:rsidR="00FB1E2B" w:rsidRPr="009F6AA3">
        <w:t>, окончание Работ</w:t>
      </w:r>
      <w:r w:rsidR="007368CA" w:rsidRPr="009F6AA3">
        <w:t>:</w:t>
      </w:r>
      <w:r w:rsidR="009311D9">
        <w:t xml:space="preserve"> </w:t>
      </w:r>
      <w:r w:rsidR="009311D9" w:rsidRPr="009311D9">
        <w:rPr>
          <w:b/>
        </w:rPr>
        <w:t>25.09.</w:t>
      </w:r>
      <w:r w:rsidR="004231BF" w:rsidRPr="004231BF">
        <w:rPr>
          <w:b/>
          <w:bCs/>
        </w:rPr>
        <w:t>2024г.</w:t>
      </w:r>
      <w:r w:rsidR="00FB1E2B" w:rsidRPr="009F6AA3">
        <w:t xml:space="preserve">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83388080"/>
      <w:r w:rsidRPr="009F6AA3">
        <w:t>Цена</w:t>
      </w:r>
      <w:r w:rsidR="00FA0DD3" w:rsidRPr="009F6AA3">
        <w:t xml:space="preserve"> </w:t>
      </w:r>
      <w:bookmarkEnd w:id="9"/>
      <w:r w:rsidR="003F053D" w:rsidRPr="009F6AA3">
        <w:t>по Договору</w:t>
      </w:r>
      <w:bookmarkEnd w:id="12"/>
      <w:bookmarkEnd w:id="13"/>
    </w:p>
    <w:p w14:paraId="1116A117" w14:textId="511B8DE8" w:rsidR="005F2608" w:rsidRPr="009F6AA3" w:rsidRDefault="00FA0DD3" w:rsidP="005F2608">
      <w:pPr>
        <w:pStyle w:val="RUS11"/>
      </w:pPr>
      <w:bookmarkStart w:id="14"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83388081"/>
      <w:r w:rsidRPr="009F6AA3">
        <w:t>Порядок и условия платежей</w:t>
      </w:r>
      <w:bookmarkEnd w:id="15"/>
      <w:bookmarkEnd w:id="16"/>
    </w:p>
    <w:p w14:paraId="4A2F0B53" w14:textId="77777777"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31086D28" w:rsidR="00024EEB" w:rsidRPr="009F6AA3" w:rsidRDefault="00024EEB" w:rsidP="009311D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9311D9" w:rsidRPr="009311D9">
        <w:rPr>
          <w:iCs/>
          <w:highlight w:val="yellow"/>
        </w:rPr>
        <w:t xml:space="preserve">в течение 60 (шестидесяти) календарных дней (за исключением оплаты СМСП. Оплата работ (услуг) субъектам МСП – не </w:t>
      </w:r>
      <w:r w:rsidR="009311D9" w:rsidRPr="009311D9">
        <w:rPr>
          <w:iCs/>
          <w:highlight w:val="yellow"/>
        </w:rPr>
        <w:lastRenderedPageBreak/>
        <w:t>позднее 7 рабочих дней)</w:t>
      </w:r>
      <w:r w:rsidR="009311D9" w:rsidRPr="009311D9">
        <w:rPr>
          <w:iCs/>
        </w:rPr>
        <w:t xml:space="preserve"> </w:t>
      </w:r>
      <w:r w:rsidRPr="009F6AA3">
        <w:t>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83388082"/>
      <w:r w:rsidRPr="009F6AA3">
        <w:t>ОБЩИЕ ОБЯЗАТЕЛЬСТВА СТОРОН</w:t>
      </w:r>
      <w:bookmarkEnd w:id="19"/>
    </w:p>
    <w:p w14:paraId="14FD95FE" w14:textId="77777777" w:rsidR="00736C1C" w:rsidRPr="009F6AA3" w:rsidRDefault="003F053D" w:rsidP="00833B41">
      <w:pPr>
        <w:pStyle w:val="RUS1"/>
        <w:jc w:val="left"/>
      </w:pPr>
      <w:bookmarkStart w:id="20" w:name="_Toc83388083"/>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 xml:space="preserve">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655FFCD8" w14:textId="77777777" w:rsidR="00EF00F1" w:rsidRPr="009F6AA3" w:rsidRDefault="00023E81" w:rsidP="00EF00F1">
      <w:pPr>
        <w:pStyle w:val="RUS111"/>
        <w:ind w:left="-142" w:firstLine="568"/>
      </w:pPr>
      <w:r w:rsidRPr="009F6AA3">
        <w:t xml:space="preserve"> </w:t>
      </w:r>
      <w:r w:rsidR="00EF00F1" w:rsidRPr="009F6AA3">
        <w:t xml:space="preserve">Подрядчик осуществляет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E73EA4C" w14:textId="77777777" w:rsidR="00EF00F1" w:rsidRPr="009F6AA3" w:rsidRDefault="00EF00F1" w:rsidP="00EF00F1">
      <w:pPr>
        <w:pStyle w:val="RUS111"/>
        <w:numPr>
          <w:ilvl w:val="0"/>
          <w:numId w:val="0"/>
        </w:numPr>
        <w:ind w:left="-142" w:firstLine="568"/>
      </w:pPr>
      <w:r w:rsidRPr="009F6AA3">
        <w:lastRenderedPageBreak/>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2FF03ACE" w14:textId="77777777" w:rsidR="0044243B" w:rsidRPr="009F6AA3" w:rsidRDefault="003F053D" w:rsidP="00833B41">
      <w:pPr>
        <w:pStyle w:val="RUS1"/>
        <w:jc w:val="left"/>
      </w:pPr>
      <w:bookmarkStart w:id="23" w:name="_Toc83388084"/>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83388085"/>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lastRenderedPageBreak/>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83388086"/>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lastRenderedPageBreak/>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83388087"/>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83388088"/>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w:t>
      </w:r>
      <w:r w:rsidRPr="009F6AA3">
        <w:lastRenderedPageBreak/>
        <w:t xml:space="preserve">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83388089"/>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lastRenderedPageBreak/>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proofErr w:type="gramStart"/>
      <w:r w:rsidRPr="009F6AA3">
        <w:t>отношении  Объекта</w:t>
      </w:r>
      <w:proofErr w:type="gramEnd"/>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lastRenderedPageBreak/>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6" w:name="_Toc83388090"/>
      <w:r w:rsidRPr="009F6AA3">
        <w:t>МАТЕРИАЛЫ</w:t>
      </w:r>
      <w:bookmarkEnd w:id="36"/>
    </w:p>
    <w:p w14:paraId="2B138F8E" w14:textId="77777777" w:rsidR="003F053D" w:rsidRPr="009F6AA3" w:rsidRDefault="003F053D" w:rsidP="002958D3">
      <w:pPr>
        <w:pStyle w:val="RUS1"/>
        <w:jc w:val="left"/>
      </w:pPr>
      <w:bookmarkStart w:id="37" w:name="_Toc83388091"/>
      <w:r w:rsidRPr="009F6AA3">
        <w:t xml:space="preserve">Обеспечение </w:t>
      </w:r>
      <w:r w:rsidR="00F13A94" w:rsidRPr="009F6AA3">
        <w:t>Материалами</w:t>
      </w:r>
      <w:bookmarkEnd w:id="37"/>
    </w:p>
    <w:p w14:paraId="287711BB" w14:textId="77777777" w:rsidR="005E735A" w:rsidRPr="009F6AA3" w:rsidRDefault="005E735A" w:rsidP="000D2139">
      <w:pPr>
        <w:pStyle w:val="RUS11"/>
      </w:pPr>
      <w:bookmarkStart w:id="38"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lastRenderedPageBreak/>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9" w:name="_Toc83388092"/>
      <w:r w:rsidRPr="009F6AA3">
        <w:t>Транспортировка грузов</w:t>
      </w:r>
      <w:bookmarkEnd w:id="39"/>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40" w:name="_Toc83388093"/>
      <w:r w:rsidRPr="009F6AA3">
        <w:t>ОРГАНИЗАЦИЯ РАБОТ</w:t>
      </w:r>
      <w:bookmarkEnd w:id="40"/>
    </w:p>
    <w:p w14:paraId="466728D0" w14:textId="77777777" w:rsidR="00C075B2" w:rsidRPr="009F6AA3" w:rsidRDefault="00A80814" w:rsidP="002958D3">
      <w:pPr>
        <w:pStyle w:val="RUS1"/>
        <w:jc w:val="left"/>
      </w:pPr>
      <w:bookmarkStart w:id="41" w:name="_Toc83388094"/>
      <w:r w:rsidRPr="009F6AA3">
        <w:t>Объект</w:t>
      </w:r>
      <w:bookmarkEnd w:id="41"/>
    </w:p>
    <w:p w14:paraId="7E958A8D" w14:textId="77777777" w:rsidR="00D45144" w:rsidRPr="009F6AA3" w:rsidRDefault="00960E02" w:rsidP="00960E02">
      <w:pPr>
        <w:pStyle w:val="RUS11"/>
      </w:pPr>
      <w:bookmarkStart w:id="42"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2"/>
    </w:p>
    <w:p w14:paraId="49F13F01" w14:textId="77777777" w:rsidR="00D45144" w:rsidRPr="009F6AA3" w:rsidRDefault="00D45144" w:rsidP="00647227">
      <w:pPr>
        <w:pStyle w:val="RUS11"/>
      </w:pPr>
      <w:bookmarkStart w:id="43"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3"/>
    </w:p>
    <w:p w14:paraId="470AE5E6" w14:textId="77777777" w:rsidR="00314B16" w:rsidRPr="009F6AA3" w:rsidRDefault="00314B16" w:rsidP="00647227">
      <w:pPr>
        <w:pStyle w:val="RUS11"/>
      </w:pPr>
      <w:r w:rsidRPr="009F6AA3">
        <w:lastRenderedPageBreak/>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4" w:name="_Toc83388095"/>
      <w:r w:rsidRPr="009F6AA3">
        <w:t>Порядок осуществления работ</w:t>
      </w:r>
      <w:bookmarkEnd w:id="44"/>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lastRenderedPageBreak/>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5"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5"/>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w:t>
      </w:r>
      <w:r w:rsidRPr="009F6AA3">
        <w:lastRenderedPageBreak/>
        <w:t>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6"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6"/>
    </w:p>
    <w:p w14:paraId="0B0EF809" w14:textId="77777777" w:rsidR="00542909" w:rsidRPr="009F6AA3" w:rsidRDefault="00542909" w:rsidP="00B63C1F">
      <w:pPr>
        <w:pStyle w:val="RUS111"/>
      </w:pPr>
      <w:bookmarkStart w:id="47"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7"/>
    </w:p>
    <w:p w14:paraId="584E1B01" w14:textId="77777777" w:rsidR="00542909" w:rsidRPr="009F6AA3" w:rsidRDefault="00542909" w:rsidP="00B63C1F">
      <w:pPr>
        <w:pStyle w:val="RUS111"/>
      </w:pPr>
      <w:r w:rsidRPr="009F6AA3">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 xml:space="preserve">Применяемые Подрядчиком оборудование, специальные приспособления, инструменты должны отвечать требованиям государственных стандартов </w:t>
      </w:r>
      <w:r w:rsidRPr="009F6AA3">
        <w:lastRenderedPageBreak/>
        <w:t>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8" w:name="_Ref496302621"/>
      <w:r w:rsidRPr="009F6AA3">
        <w:lastRenderedPageBreak/>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8"/>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9" w:name="_Toc496879570"/>
      <w:bookmarkEnd w:id="49"/>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w:t>
      </w:r>
      <w:r w:rsidRPr="009F6AA3">
        <w:lastRenderedPageBreak/>
        <w:t xml:space="preserve">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50"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50"/>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1"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1"/>
    </w:p>
    <w:p w14:paraId="6B4CA3F5" w14:textId="77777777" w:rsidR="00311EE6" w:rsidRPr="009F6AA3" w:rsidRDefault="00311EE6" w:rsidP="00B63C1F">
      <w:pPr>
        <w:pStyle w:val="RUS111"/>
      </w:pPr>
      <w:r w:rsidRPr="009F6AA3">
        <w:lastRenderedPageBreak/>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2" w:name="_Toc83388096"/>
      <w:r w:rsidRPr="009F6AA3">
        <w:t>Изменени</w:t>
      </w:r>
      <w:r w:rsidR="009B563E" w:rsidRPr="009F6AA3">
        <w:t>е</w:t>
      </w:r>
      <w:r w:rsidRPr="009F6AA3">
        <w:t xml:space="preserve"> Работ</w:t>
      </w:r>
      <w:bookmarkEnd w:id="52"/>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3" w:name="_Toc83388097"/>
      <w:bookmarkStart w:id="54" w:name="_Ref493704750"/>
      <w:r w:rsidRPr="009F6AA3">
        <w:t>Дополнительные Работы</w:t>
      </w:r>
      <w:bookmarkEnd w:id="53"/>
    </w:p>
    <w:p w14:paraId="49C767A4" w14:textId="77777777" w:rsidR="00244997" w:rsidRPr="009F6AA3" w:rsidRDefault="009178B8" w:rsidP="00C7705B">
      <w:pPr>
        <w:pStyle w:val="RUS11"/>
      </w:pPr>
      <w:bookmarkStart w:id="55" w:name="_Ref515311192"/>
      <w:r w:rsidRPr="009F6AA3">
        <w:lastRenderedPageBreak/>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5"/>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6" w:name="_Ref496212597"/>
      <w:bookmarkStart w:id="57" w:name="_Toc83388098"/>
      <w:r w:rsidRPr="009F6AA3">
        <w:t>Требования к документации</w:t>
      </w:r>
      <w:bookmarkEnd w:id="56"/>
      <w:bookmarkEnd w:id="57"/>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8" w:name="_Toc83388099"/>
      <w:r w:rsidRPr="009F6AA3">
        <w:t>Приемка выполненных Работ</w:t>
      </w:r>
      <w:bookmarkEnd w:id="54"/>
      <w:bookmarkEnd w:id="58"/>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9" w:name="_Ref501108528"/>
      <w:r w:rsidRPr="009F6AA3">
        <w:lastRenderedPageBreak/>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9"/>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lastRenderedPageBreak/>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60" w:name="_Ref496625407"/>
      <w:bookmarkStart w:id="61" w:name="_Toc83388100"/>
      <w:r w:rsidRPr="009F6AA3">
        <w:t>Приемо-сдаточные испытания</w:t>
      </w:r>
      <w:bookmarkEnd w:id="60"/>
      <w:bookmarkEnd w:id="61"/>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lastRenderedPageBreak/>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2" w:name="_Toc83388101"/>
      <w:r w:rsidRPr="009F6AA3">
        <w:t>Гарантии качества по сданным Работам</w:t>
      </w:r>
      <w:bookmarkEnd w:id="62"/>
    </w:p>
    <w:p w14:paraId="64AB3E83" w14:textId="6132FA0D" w:rsidR="00756BA6" w:rsidRPr="009F6AA3" w:rsidRDefault="00756BA6" w:rsidP="000D2139">
      <w:pPr>
        <w:pStyle w:val="RUS11"/>
      </w:pPr>
      <w:bookmarkStart w:id="63"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9311D9">
        <w:t>12</w:t>
      </w:r>
      <w:r w:rsidR="003E3194" w:rsidRPr="009F6AA3">
        <w:t xml:space="preserve"> </w:t>
      </w:r>
      <w:r w:rsidR="00D34524" w:rsidRPr="009F6AA3">
        <w:rPr>
          <w:iCs/>
        </w:rPr>
        <w:t>(</w:t>
      </w:r>
      <w:r w:rsidR="009311D9">
        <w:rPr>
          <w:iCs/>
        </w:rPr>
        <w:t>двенадцать</w:t>
      </w:r>
      <w:r w:rsidR="00D34524" w:rsidRPr="009F6AA3">
        <w:rPr>
          <w:iCs/>
        </w:rPr>
        <w:t xml:space="preserve">) </w:t>
      </w:r>
      <w:r w:rsidR="009311D9">
        <w:rPr>
          <w:iCs/>
        </w:rPr>
        <w:t>месяцев</w:t>
      </w:r>
      <w:r w:rsidR="00DF2321" w:rsidRPr="009F6AA3">
        <w:t xml:space="preserve"> с даты </w:t>
      </w:r>
      <w:r w:rsidR="00F11A22" w:rsidRPr="009F6AA3">
        <w:t>приемки Результата Работ</w:t>
      </w:r>
      <w:r w:rsidRPr="009F6AA3">
        <w:t>:</w:t>
      </w:r>
      <w:bookmarkEnd w:id="63"/>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lastRenderedPageBreak/>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w:t>
      </w:r>
      <w:r w:rsidRPr="00DF0E65">
        <w:rPr>
          <w:rFonts w:eastAsia="Calibri"/>
          <w:sz w:val="22"/>
          <w:szCs w:val="22"/>
        </w:rPr>
        <w:lastRenderedPageBreak/>
        <w:t>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 xml:space="preserve">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w:t>
      </w:r>
      <w:r w:rsidRPr="009F6AA3">
        <w:lastRenderedPageBreak/>
        <w:t>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lastRenderedPageBreak/>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w:t>
      </w:r>
      <w:r w:rsidRPr="009F6AA3">
        <w:lastRenderedPageBreak/>
        <w:t xml:space="preserve">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w:t>
      </w:r>
      <w:r w:rsidRPr="009F6AA3">
        <w:lastRenderedPageBreak/>
        <w:t xml:space="preserve">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w:t>
      </w:r>
      <w:proofErr w:type="gramStart"/>
      <w:r w:rsidR="005901F0" w:rsidRPr="009F6AA3">
        <w:t>5.-</w:t>
      </w:r>
      <w:proofErr w:type="gramEnd"/>
      <w:r w:rsidR="005901F0" w:rsidRPr="009F6AA3">
        <w:t>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lastRenderedPageBreak/>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w:t>
      </w:r>
      <w:r w:rsidRPr="009F6AA3">
        <w:lastRenderedPageBreak/>
        <w:t>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lastRenderedPageBreak/>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lastRenderedPageBreak/>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lastRenderedPageBreak/>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 xml:space="preserve">м согласно настоящему Договору до начала действия обстоятельств </w:t>
      </w:r>
      <w:r w:rsidR="00D94937" w:rsidRPr="009F6AA3">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w:t>
      </w:r>
      <w:r w:rsidRPr="009F6AA3">
        <w:lastRenderedPageBreak/>
        <w:t xml:space="preserve">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lastRenderedPageBreak/>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proofErr w:type="spellStart"/>
      <w:r w:rsidRPr="009F6AA3">
        <w:t>Антисанкционная</w:t>
      </w:r>
      <w:proofErr w:type="spellEnd"/>
      <w:r w:rsidRPr="009F6AA3">
        <w:t xml:space="preserve">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w:t>
      </w:r>
      <w:r w:rsidRPr="009F6AA3">
        <w:rPr>
          <w:rFonts w:eastAsia="Calibri"/>
          <w:sz w:val="22"/>
          <w:szCs w:val="22"/>
        </w:rPr>
        <w:lastRenderedPageBreak/>
        <w:t>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lastRenderedPageBreak/>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lastRenderedPageBreak/>
        <w:t>Перечень документов, прилагаемых к настоящему Договору</w:t>
      </w:r>
      <w:bookmarkEnd w:id="111"/>
    </w:p>
    <w:p w14:paraId="50263A99" w14:textId="77777777" w:rsidR="009E7F2B" w:rsidRPr="009F6AA3" w:rsidRDefault="002B248E"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1976D56B" w:rsidR="009E7F2B" w:rsidRPr="009F6AA3" w:rsidRDefault="002B248E"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9311D9" w:rsidRPr="009F6AA3">
          <w:rPr>
            <w:b w:val="0"/>
            <w:sz w:val="22"/>
            <w:szCs w:val="22"/>
          </w:rPr>
          <w:t>Локальная смета №1</w:t>
        </w:r>
        <w:r w:rsidR="009311D9">
          <w:rPr>
            <w:b w:val="0"/>
            <w:sz w:val="22"/>
            <w:szCs w:val="22"/>
          </w:rPr>
          <w:t>, локальная ресурсная смета № 1-А</w:t>
        </w:r>
        <w:r w:rsidR="009311D9">
          <w:rPr>
            <w:sz w:val="22"/>
            <w:szCs w:val="22"/>
          </w:rPr>
          <w:t xml:space="preserve"> </w:t>
        </w:r>
      </w:hyperlink>
    </w:p>
    <w:p w14:paraId="3683F2FD" w14:textId="77777777" w:rsidR="009E7F2B" w:rsidRPr="009F6AA3" w:rsidRDefault="002B248E"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2B248E"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2B248E"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2B248E"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bl>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61279328"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2B248E">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248E"/>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1D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2F2262-8B95-4498-A99D-B756D465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48</Pages>
  <Words>24272</Words>
  <Characters>138351</Characters>
  <Application>Microsoft Office Word</Application>
  <DocSecurity>0</DocSecurity>
  <Lines>1152</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162299</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Shatalina Alena</cp:lastModifiedBy>
  <cp:revision>89</cp:revision>
  <cp:lastPrinted>2021-09-27T03:30:00Z</cp:lastPrinted>
  <dcterms:created xsi:type="dcterms:W3CDTF">2019-08-07T05:35:00Z</dcterms:created>
  <dcterms:modified xsi:type="dcterms:W3CDTF">2024-03-25T06:49:00Z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